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PARTNER</w:t>
            </w:r>
          </w:p>
          <w:p>
            <w:pPr>
              <w:pStyle w:val="AlignCenter"/>
            </w:pPr>
            <w:r>
              <w:rPr>
                <w:color w:val="ffffff"/>
                <w:sz w:val="34"/>
                <w:szCs w:val="34"/>
              </w:rPr>
              <w:t xml:space="preserve">TONYA J. BOND</w:t>
            </w:r>
          </w:p>
          <w:p>
            <w:pPr>
              <w:pStyle w:val="AlignCenter2"/>
            </w:pPr>
            <w:r>
              <w:rPr>
                <w:color w:val="ffffff"/>
                <w:b w:val="1"/>
                <w:bCs w:val="1"/>
              </w:rPr>
              <w:t xml:space="preserve">T. </w:t>
            </w:r>
            <w:r>
              <w:rPr>
                <w:color w:val="ffffff"/>
              </w:rPr>
              <w:t xml:space="preserve">317-637-0700 x236</w:t>
            </w:r>
          </w:p>
          <w:p>
            <w:pPr>
              <w:pStyle w:val="AlignCenter2"/>
            </w:pPr>
            <w:r>
              <w:rPr>
                <w:color w:val="ffffff"/>
                <w:b w:val="1"/>
                <w:bCs w:val="1"/>
              </w:rPr>
              <w:t xml:space="preserve">E. </w:t>
            </w:r>
            <w:r>
              <w:rPr>
                <w:color w:val="ffffff"/>
              </w:rPr>
              <w:t xml:space="preserve">tbond@psrb.com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pPr>
              <w:pStyle w:val="Heading3"/>
            </w:pPr>
            <w:r>
              <w:rPr/>
              <w:t xml:space="preserve">Practices</w:t>
            </w:r>
          </w:p>
          <w:p>
            <w:pPr/>
            <w:hyperlink r:id="rId9" w:history="1">
              <w:r>
                <w:rPr/>
                <w:t xml:space="preserve">Business</w:t>
              </w:r>
            </w:hyperlink>
          </w:p>
          <w:p>
            <w:pPr/>
            <w:hyperlink r:id="rId10" w:history="1">
              <w:r>
                <w:rPr/>
                <w:t xml:space="preserve">Insurance Coverage</w:t>
              </w:r>
            </w:hyperlink>
          </w:p>
          <w:p>
            <w:pPr/>
            <w:hyperlink r:id="rId11" w:history="1">
              <w:r>
                <w:rPr/>
                <w:t xml:space="preserve">Litigation</w:t>
              </w:r>
            </w:hyperlink>
          </w:p>
          <w:p>
            <w:pPr>
              <w:pStyle w:val="Heading3"/>
            </w:pPr>
            <w:r>
              <w:rPr/>
              <w:t xml:space="preserve">Industries</w:t>
            </w:r>
          </w:p>
          <w:p>
            <w:pPr/>
            <w:hyperlink r:id="rId12" w:history="1">
              <w:r>
                <w:rPr/>
                <w:t xml:space="preserve">Agribusiness</w:t>
              </w:r>
            </w:hyperlink>
          </w:p>
          <w:p>
            <w:pPr/>
            <w:hyperlink r:id="rId13" w:history="1">
              <w:r>
                <w:rPr/>
                <w:t xml:space="preserve">Education &amp; Schools</w:t>
              </w:r>
            </w:hyperlink>
          </w:p>
          <w:p>
            <w:pPr/>
            <w:hyperlink r:id="rId14" w:history="1">
              <w:r>
                <w:rPr/>
                <w:t xml:space="preserve">Manufacturing</w:t>
              </w:r>
            </w:hyperlink>
          </w:p>
          <w:p>
            <w:pPr/>
            <w:hyperlink r:id="rId15" w:history="1">
              <w:r>
                <w:rPr/>
                <w:t xml:space="preserve">Municipalities &amp; Government</w:t>
              </w:r>
            </w:hyperlink>
          </w:p>
          <w:p>
            <w:pPr/>
            <w:hyperlink r:id="rId16" w:history="1">
              <w:r>
                <w:rPr/>
                <w:t xml:space="preserve">Nonprofit &amp; Religious Organizations</w:t>
              </w:r>
            </w:hyperlink>
          </w:p>
          <w:p>
            <w:pPr/>
            <w:hyperlink r:id="rId17" w:history="1">
              <w:r>
                <w:rPr/>
                <w:t xml:space="preserve">Petroleum Marketers</w:t>
              </w:r>
            </w:hyperlink>
          </w:p>
          <w:p>
            <w:pPr/>
            <w:hyperlink r:id="rId18" w:history="1">
              <w:r>
                <w:rPr/>
                <w:t xml:space="preserve">Waste Services</w:t>
              </w:r>
            </w:hyperlink>
          </w:p>
        </w:tc>
        <w:tc>
          <w:tcPr>
            <w:tcW w:w="6750" w:type="dxa"/>
          </w:tcPr>
          <w:p>
            <w:pPr>
              <w:pStyle w:val="Heading1"/>
            </w:pPr>
            <w:r>
              <w:rPr/>
              <w:t xml:space="preserve">Overview</w:t>
            </w:r>
          </w:p>
          <w:p>
            <w:pPr/>
            <w:r>
              <w:rPr/>
              <w:t xml:space="preserve">Tonya J. Bond advises and represents businesses, individuals, local governments, and nonprofit organizations. She litigates a wide variety of complex matters for both plaintiffs and defendants including commercial transactions, insurance recovery for policyholders, wrongful death, and premises and products liability cases. In addition to litigation, Tonya practices appellate work at both the state and federal levels. She also serves as General Counsel for the Indiana Sheriffs’ Association and Legal Deputy for several Sheriffs’ Offices.</w:t>
            </w:r>
          </w:p>
          <w:p>
            <w:pPr/>
            <w:r>
              <w:rPr/>
              <w:t xml:space="preserve">Tonya is actively involved in the legal community, serving the Indiana State Bar Association, the Indiana Judges and Lawyers Assistance Program (JLAP) Committee, and the Indiana Conference for Legal Education Opportunity (Indiana CLEO) Advisory Committee. She also serves as an Adjunct Faculty Member at IUPUI Kelley School of Business where she teaches Business Law.</w:t>
            </w:r>
          </w:p>
          <w:p>
            <w:pPr>
              <w:pStyle w:val="Heading1"/>
            </w:pPr>
            <w:r>
              <w:rPr/>
              <w:t xml:space="preserve">Awards</w:t>
            </w:r>
          </w:p>
          <w:p>
            <w:pPr>
              <w:numPr>
                <w:ilvl w:val="0"/>
                <w:numId w:val="11"/>
              </w:numPr>
            </w:pPr>
            <w:r>
              <w:rPr/>
              <w:t xml:space="preserve">2014-2024 – Selected for inclusion in </w:t>
            </w:r>
            <w:r>
              <w:rPr>
                <w:i w:val="1"/>
                <w:iCs w:val="1"/>
              </w:rPr>
              <w:t xml:space="preserve">Indiana Super Lawyers  – Business Litigation</w:t>
            </w:r>
          </w:p>
          <w:p>
            <w:pPr>
              <w:numPr>
                <w:ilvl w:val="1"/>
                <w:numId w:val="11"/>
              </w:numPr>
            </w:pPr>
            <w:r>
              <w:rPr/>
              <w:t xml:space="preserve">2018-2019 Top 25 Women</w:t>
            </w:r>
          </w:p>
          <w:p>
            <w:pPr>
              <w:numPr>
                <w:ilvl w:val="0"/>
                <w:numId w:val="11"/>
              </w:numPr>
            </w:pPr>
            <w:r>
              <w:rPr/>
              <w:t xml:space="preserve">2013-2024 – Selected for inclusion in </w:t>
            </w:r>
            <w:r>
              <w:rPr>
                <w:i w:val="1"/>
                <w:iCs w:val="1"/>
              </w:rPr>
              <w:t xml:space="preserve">Best Lawyers in America® </w:t>
            </w:r>
          </w:p>
          <w:p>
            <w:pPr>
              <w:numPr>
                <w:ilvl w:val="1"/>
                <w:numId w:val="11"/>
              </w:numPr>
            </w:pPr>
            <w:r>
              <w:rPr/>
              <w:t xml:space="preserve">2022 – Insurance Law – Litigation </w:t>
            </w:r>
            <w:r>
              <w:rPr>
                <w:i w:val="1"/>
                <w:iCs w:val="1"/>
              </w:rPr>
              <w:t xml:space="preserve">Lawyer of the Year</w:t>
            </w:r>
            <w:r>
              <w:rPr/>
              <w:t xml:space="preserve"> in Indianapolis</w:t>
            </w:r>
          </w:p>
          <w:p>
            <w:pPr>
              <w:numPr>
                <w:ilvl w:val="0"/>
                <w:numId w:val="11"/>
              </w:numPr>
            </w:pPr>
            <w:r>
              <w:rPr/>
              <w:t xml:space="preserve">2014-present – Martindale-Hubble AV® Preeminent TM Peer Review Rated</w:t>
            </w:r>
          </w:p>
          <w:p>
            <w:pPr>
              <w:numPr>
                <w:ilvl w:val="0"/>
                <w:numId w:val="11"/>
              </w:numPr>
            </w:pPr>
            <w:r>
              <w:rPr/>
              <w:t xml:space="preserve">2022 – Fellow, Litigation Counsel of America, The Trial Lawyer Honorary Society</w:t>
            </w:r>
          </w:p>
          <w:p>
            <w:pPr>
              <w:numPr>
                <w:ilvl w:val="0"/>
                <w:numId w:val="11"/>
              </w:numPr>
            </w:pPr>
            <w:r>
              <w:rPr/>
              <w:t xml:space="preserve">2010-2013 – Selected for Inclusion in Indiana Super Lawyers – Rising Star – Insurance Coverage</w:t>
            </w:r>
          </w:p>
          <w:p>
            <w:pPr>
              <w:numPr>
                <w:ilvl w:val="0"/>
                <w:numId w:val="11"/>
              </w:numPr>
            </w:pPr>
            <w:r>
              <w:rPr/>
              <w:t xml:space="preserve">2012 – Indiana State Bar Association Leadership Development Academy Graduate</w:t>
            </w:r>
          </w:p>
          <w:p>
            <w:pPr>
              <w:numPr>
                <w:ilvl w:val="0"/>
                <w:numId w:val="11"/>
              </w:numPr>
            </w:pPr>
            <w:r>
              <w:rPr/>
              <w:t xml:space="preserve">2009 – Indiana Lawyer’s Up and Coming Lawyer Award</w:t>
            </w:r>
          </w:p>
          <w:p>
            <w:pPr>
              <w:pStyle w:val="Heading1"/>
            </w:pPr>
            <w:r>
              <w:rPr/>
              <w:t xml:space="preserve">Education</w:t>
            </w:r>
          </w:p>
          <w:p>
            <w:pPr>
              <w:numPr>
                <w:ilvl w:val="0"/>
                <w:numId w:val="12"/>
              </w:numPr>
            </w:pPr>
            <w:r>
              <w:rPr/>
              <w:t xml:space="preserve">J.D., 2004, Indiana University Indianapolis, Robert H. McKinney School of Law</w:t>
            </w:r>
          </w:p>
          <w:p>
            <w:pPr>
              <w:numPr>
                <w:ilvl w:val="0"/>
                <w:numId w:val="12"/>
              </w:numPr>
            </w:pPr>
            <w:r>
              <w:rPr/>
              <w:t xml:space="preserve">B.A., 2000, Indiana University, Indianapolis</w:t>
            </w:r>
          </w:p>
          <w:p>
            <w:pPr>
              <w:pStyle w:val="Heading1"/>
            </w:pPr>
            <w:r>
              <w:rPr/>
              <w:t xml:space="preserve">Bar Admissions</w:t>
            </w:r>
          </w:p>
          <w:p>
            <w:pPr>
              <w:numPr>
                <w:ilvl w:val="0"/>
                <w:numId w:val="13"/>
              </w:numPr>
            </w:pPr>
            <w:r>
              <w:rPr/>
              <w:t xml:space="preserve">State of Indiana, 2004</w:t>
            </w:r>
          </w:p>
          <w:p>
            <w:pPr>
              <w:numPr>
                <w:ilvl w:val="0"/>
                <w:numId w:val="13"/>
              </w:numPr>
            </w:pPr>
            <w:r>
              <w:rPr/>
              <w:t xml:space="preserve">United States District Court for the Southern District of Indiana, 2004</w:t>
            </w:r>
          </w:p>
          <w:p>
            <w:pPr>
              <w:numPr>
                <w:ilvl w:val="0"/>
                <w:numId w:val="13"/>
              </w:numPr>
            </w:pPr>
            <w:r>
              <w:rPr/>
              <w:t xml:space="preserve">United States District Court for the Northern District of Indiana, 2004</w:t>
            </w:r>
          </w:p>
          <w:p>
            <w:pPr>
              <w:numPr>
                <w:ilvl w:val="0"/>
                <w:numId w:val="13"/>
              </w:numPr>
            </w:pPr>
            <w:r>
              <w:rPr/>
              <w:t xml:space="preserve">United States Court of Appeals for the Second Circuit, 2011</w:t>
            </w:r>
          </w:p>
          <w:p>
            <w:pPr>
              <w:numPr>
                <w:ilvl w:val="0"/>
                <w:numId w:val="13"/>
              </w:numPr>
            </w:pPr>
            <w:r>
              <w:rPr/>
              <w:t xml:space="preserve">United States Court of Appeals for the District of Columbia Circuit, 2016</w:t>
            </w:r>
          </w:p>
          <w:p>
            <w:pPr>
              <w:numPr>
                <w:ilvl w:val="0"/>
                <w:numId w:val="13"/>
              </w:numPr>
            </w:pPr>
            <w:r>
              <w:rPr/>
              <w:t xml:space="preserve">United States Court of Appeals for the Seventh Circuit, 2022</w:t>
            </w:r>
          </w:p>
          <w:p>
            <w:pPr>
              <w:pStyle w:val="Heading1"/>
            </w:pPr>
            <w:r>
              <w:rPr/>
              <w:t xml:space="preserve">Affiliations</w:t>
            </w:r>
          </w:p>
          <w:p>
            <w:pPr>
              <w:pStyle w:val="Heading2"/>
            </w:pPr>
            <w:r>
              <w:rPr/>
              <w:t xml:space="preserve">Professional Affiliations</w:t>
            </w:r>
          </w:p>
          <w:p>
            <w:pPr>
              <w:numPr>
                <w:ilvl w:val="0"/>
                <w:numId w:val="14"/>
              </w:numPr>
            </w:pPr>
            <w:r>
              <w:rPr/>
              <w:t xml:space="preserve">Indiana State Bar Association</w:t>
            </w:r>
          </w:p>
          <w:p>
            <w:pPr>
              <w:numPr>
                <w:ilvl w:val="1"/>
                <w:numId w:val="14"/>
              </w:numPr>
            </w:pPr>
            <w:r>
              <w:rPr/>
              <w:t xml:space="preserve">Executive Board Treasurer (2023)</w:t>
            </w:r>
          </w:p>
          <w:p>
            <w:pPr>
              <w:numPr>
                <w:ilvl w:val="1"/>
                <w:numId w:val="14"/>
              </w:numPr>
            </w:pPr>
            <w:r>
              <w:rPr/>
              <w:t xml:space="preserve">Leadership Development Academy</w:t>
            </w:r>
          </w:p>
          <w:p>
            <w:pPr>
              <w:numPr>
                <w:ilvl w:val="2"/>
                <w:numId w:val="14"/>
              </w:numPr>
            </w:pPr>
            <w:r>
              <w:rPr/>
              <w:t xml:space="preserve">Chair (2019-2022)</w:t>
            </w:r>
          </w:p>
          <w:p>
            <w:pPr>
              <w:numPr>
                <w:ilvl w:val="2"/>
                <w:numId w:val="14"/>
              </w:numPr>
            </w:pPr>
            <w:r>
              <w:rPr/>
              <w:t xml:space="preserve">Vice Chair (2016-2018)</w:t>
            </w:r>
          </w:p>
          <w:p>
            <w:pPr>
              <w:numPr>
                <w:ilvl w:val="2"/>
                <w:numId w:val="14"/>
              </w:numPr>
            </w:pPr>
            <w:r>
              <w:rPr/>
              <w:t xml:space="preserve">Committee Member (2012-Current)</w:t>
            </w:r>
          </w:p>
          <w:p>
            <w:pPr>
              <w:numPr>
                <w:ilvl w:val="2"/>
                <w:numId w:val="14"/>
              </w:numPr>
            </w:pPr>
            <w:r>
              <w:rPr/>
              <w:t xml:space="preserve">Graduate (Class 1, 2012)</w:t>
            </w:r>
          </w:p>
          <w:p>
            <w:pPr>
              <w:numPr>
                <w:ilvl w:val="1"/>
                <w:numId w:val="14"/>
              </w:numPr>
            </w:pPr>
            <w:r>
              <w:rPr/>
              <w:t xml:space="preserve">Board of Governors (2013-2015)</w:t>
            </w:r>
          </w:p>
          <w:p>
            <w:pPr>
              <w:numPr>
                <w:ilvl w:val="1"/>
                <w:numId w:val="14"/>
              </w:numPr>
            </w:pPr>
            <w:r>
              <w:rPr/>
              <w:t xml:space="preserve">Professional Legal Education, Admission &amp; Development (PLEADS) Council</w:t>
            </w:r>
          </w:p>
          <w:p>
            <w:pPr>
              <w:numPr>
                <w:ilvl w:val="2"/>
                <w:numId w:val="14"/>
              </w:numPr>
            </w:pPr>
            <w:r>
              <w:rPr/>
              <w:t xml:space="preserve">Chair (2015-2016)</w:t>
            </w:r>
          </w:p>
          <w:p>
            <w:pPr>
              <w:numPr>
                <w:ilvl w:val="2"/>
                <w:numId w:val="14"/>
              </w:numPr>
            </w:pPr>
            <w:r>
              <w:rPr/>
              <w:t xml:space="preserve">Secretary (2014-2015)</w:t>
            </w:r>
          </w:p>
          <w:p>
            <w:pPr>
              <w:numPr>
                <w:ilvl w:val="1"/>
                <w:numId w:val="14"/>
              </w:numPr>
            </w:pPr>
            <w:r>
              <w:rPr/>
              <w:t xml:space="preserve">2007 Annual Meeting Planning Committee</w:t>
            </w:r>
          </w:p>
          <w:p>
            <w:pPr>
              <w:numPr>
                <w:ilvl w:val="1"/>
                <w:numId w:val="14"/>
              </w:numPr>
            </w:pPr>
            <w:r>
              <w:rPr/>
              <w:t xml:space="preserve">Member (2004-Current)</w:t>
            </w:r>
          </w:p>
          <w:p>
            <w:pPr>
              <w:numPr>
                <w:ilvl w:val="0"/>
                <w:numId w:val="14"/>
              </w:numPr>
            </w:pPr>
            <w:r>
              <w:rPr/>
              <w:t xml:space="preserve">Judges and Lawyers Assistance Program (JLAP)</w:t>
            </w:r>
          </w:p>
          <w:p>
            <w:pPr>
              <w:numPr>
                <w:ilvl w:val="1"/>
                <w:numId w:val="14"/>
              </w:numPr>
            </w:pPr>
            <w:r>
              <w:rPr/>
              <w:t xml:space="preserve">Committee Member (2016-Current)</w:t>
            </w:r>
          </w:p>
          <w:p>
            <w:pPr>
              <w:numPr>
                <w:ilvl w:val="1"/>
                <w:numId w:val="14"/>
              </w:numPr>
            </w:pPr>
            <w:r>
              <w:rPr/>
              <w:t xml:space="preserve">Committee Member (2004-2012)</w:t>
            </w:r>
          </w:p>
          <w:p>
            <w:pPr>
              <w:numPr>
                <w:ilvl w:val="1"/>
                <w:numId w:val="14"/>
              </w:numPr>
            </w:pPr>
            <w:r>
              <w:rPr/>
              <w:t xml:space="preserve">Volunteer (2003-Current)</w:t>
            </w:r>
          </w:p>
          <w:p>
            <w:pPr>
              <w:numPr>
                <w:ilvl w:val="0"/>
                <w:numId w:val="14"/>
              </w:numPr>
            </w:pPr>
            <w:r>
              <w:rPr/>
              <w:t xml:space="preserve">American Inn of Court</w:t>
            </w:r>
          </w:p>
          <w:p>
            <w:pPr>
              <w:numPr>
                <w:ilvl w:val="1"/>
                <w:numId w:val="14"/>
              </w:numPr>
            </w:pPr>
            <w:r>
              <w:rPr/>
              <w:t xml:space="preserve">Barrister</w:t>
            </w:r>
          </w:p>
          <w:p>
            <w:pPr>
              <w:numPr>
                <w:ilvl w:val="0"/>
                <w:numId w:val="14"/>
              </w:numPr>
            </w:pPr>
            <w:r>
              <w:rPr/>
              <w:t xml:space="preserve">Indianapolis Bar Association</w:t>
            </w:r>
          </w:p>
          <w:p>
            <w:pPr>
              <w:numPr>
                <w:ilvl w:val="1"/>
                <w:numId w:val="14"/>
              </w:numPr>
            </w:pPr>
            <w:r>
              <w:rPr/>
              <w:t xml:space="preserve">Member (2004-Current)</w:t>
            </w:r>
          </w:p>
          <w:p>
            <w:pPr>
              <w:numPr>
                <w:ilvl w:val="0"/>
                <w:numId w:val="14"/>
              </w:numPr>
            </w:pPr>
            <w:r>
              <w:rPr/>
              <w:t xml:space="preserve">Indianapolis Legal Aid Society</w:t>
            </w:r>
          </w:p>
          <w:p>
            <w:pPr>
              <w:numPr>
                <w:ilvl w:val="1"/>
                <w:numId w:val="14"/>
              </w:numPr>
            </w:pPr>
            <w:r>
              <w:rPr/>
              <w:t xml:space="preserve">Member</w:t>
            </w:r>
          </w:p>
          <w:p>
            <w:pPr>
              <w:numPr>
                <w:ilvl w:val="0"/>
                <w:numId w:val="14"/>
              </w:numPr>
            </w:pPr>
            <w:r>
              <w:rPr/>
              <w:t xml:space="preserve">Marion County Bar Association</w:t>
            </w:r>
          </w:p>
          <w:p>
            <w:pPr>
              <w:numPr>
                <w:ilvl w:val="1"/>
                <w:numId w:val="14"/>
              </w:numPr>
            </w:pPr>
            <w:r>
              <w:rPr/>
              <w:t xml:space="preserve">Member (2020-Current)</w:t>
            </w:r>
          </w:p>
          <w:p>
            <w:pPr>
              <w:numPr>
                <w:ilvl w:val="0"/>
                <w:numId w:val="14"/>
              </w:numPr>
            </w:pPr>
            <w:r>
              <w:rPr/>
              <w:t xml:space="preserve">Litigation Counsel of America (LCA)</w:t>
            </w:r>
          </w:p>
          <w:p>
            <w:pPr>
              <w:numPr>
                <w:ilvl w:val="1"/>
                <w:numId w:val="14"/>
              </w:numPr>
            </w:pPr>
            <w:r>
              <w:rPr/>
              <w:t xml:space="preserve">Trial Law Institute</w:t>
            </w:r>
          </w:p>
          <w:p>
            <w:pPr>
              <w:numPr>
                <w:ilvl w:val="2"/>
                <w:numId w:val="14"/>
              </w:numPr>
            </w:pPr>
            <w:r>
              <w:rPr/>
              <w:t xml:space="preserve">Member</w:t>
            </w:r>
          </w:p>
          <w:p>
            <w:pPr>
              <w:numPr>
                <w:ilvl w:val="1"/>
                <w:numId w:val="14"/>
              </w:numPr>
            </w:pPr>
            <w:r>
              <w:rPr/>
              <w:t xml:space="preserve">Diversity Law Institute</w:t>
            </w:r>
          </w:p>
          <w:p>
            <w:pPr>
              <w:numPr>
                <w:ilvl w:val="2"/>
                <w:numId w:val="14"/>
              </w:numPr>
            </w:pPr>
            <w:r>
              <w:rPr/>
              <w:t xml:space="preserve">Member</w:t>
            </w:r>
          </w:p>
          <w:p>
            <w:pPr>
              <w:pStyle w:val="Heading2"/>
            </w:pPr>
            <w:r>
              <w:rPr/>
              <w:t xml:space="preserve">Community Affiliations</w:t>
            </w:r>
          </w:p>
          <w:p>
            <w:pPr>
              <w:numPr>
                <w:ilvl w:val="0"/>
                <w:numId w:val="15"/>
              </w:numPr>
            </w:pPr>
            <w:r>
              <w:rPr/>
              <w:t xml:space="preserve">Indiana University, Robert H. McKinney School of Law</w:t>
            </w:r>
          </w:p>
          <w:p>
            <w:pPr>
              <w:numPr>
                <w:ilvl w:val="1"/>
                <w:numId w:val="15"/>
              </w:numPr>
            </w:pPr>
            <w:r>
              <w:rPr/>
              <w:t xml:space="preserve">Chair, Alumni and Student Engagement Committee</w:t>
            </w:r>
          </w:p>
          <w:p>
            <w:pPr>
              <w:numPr>
                <w:ilvl w:val="1"/>
                <w:numId w:val="15"/>
              </w:numPr>
            </w:pPr>
            <w:r>
              <w:rPr/>
              <w:t xml:space="preserve">Board Member</w:t>
            </w:r>
          </w:p>
          <w:p>
            <w:pPr>
              <w:numPr>
                <w:ilvl w:val="0"/>
                <w:numId w:val="15"/>
              </w:numPr>
            </w:pPr>
            <w:r>
              <w:rPr/>
              <w:t xml:space="preserve">Lawrence Township School Council Legislative Committee</w:t>
            </w:r>
          </w:p>
          <w:p>
            <w:pPr>
              <w:numPr>
                <w:ilvl w:val="1"/>
                <w:numId w:val="15"/>
              </w:numPr>
            </w:pPr>
            <w:r>
              <w:rPr/>
              <w:t xml:space="preserve">Co-Chair (2009)</w:t>
            </w:r>
          </w:p>
          <w:p>
            <w:pPr>
              <w:numPr>
                <w:ilvl w:val="0"/>
                <w:numId w:val="15"/>
              </w:numPr>
            </w:pPr>
            <w:r>
              <w:rPr/>
              <w:t xml:space="preserve">Child Advocates (2006-2007)</w:t>
            </w:r>
          </w:p>
          <w:p>
            <w:pPr>
              <w:numPr>
                <w:ilvl w:val="1"/>
                <w:numId w:val="15"/>
              </w:numPr>
            </w:pPr>
            <w:r>
              <w:rPr/>
              <w:t xml:space="preserve">Board Member (2006-2007)</w:t>
            </w:r>
          </w:p>
          <w:p>
            <w:pPr>
              <w:numPr>
                <w:ilvl w:val="1"/>
                <w:numId w:val="15"/>
              </w:numPr>
            </w:pPr>
            <w:r>
              <w:rPr/>
              <w:t xml:space="preserve">Volunteer (2000-2007)</w:t>
            </w:r>
          </w:p>
          <w:p>
            <w:pPr>
              <w:pStyle w:val="Heading1"/>
            </w:pPr>
            <w:r>
              <w:rPr/>
              <w:t xml:space="preserve">Articles &amp; Events</w:t>
            </w:r>
          </w:p>
          <w:p>
            <w:pPr>
              <w:pStyle w:val="Heading4"/>
            </w:pPr>
            <w:r>
              <w:rPr/>
              <w:t xml:space="preserve">2022 | Speaking Engagement</w:t>
            </w:r>
          </w:p>
          <w:p>
            <w:pPr/>
            <w:r>
              <w:rPr/>
              <w:t xml:space="preserve">Speaker, “Top Ten Lessons in Leadership Learned Over the Past Ten Years” Indiana State Bar Associations Paralegal Symposium</w:t>
            </w:r>
          </w:p>
          <w:p>
            <w:pPr>
              <w:pStyle w:val="Heading4"/>
            </w:pPr>
            <w:r>
              <w:rPr/>
              <w:t xml:space="preserve">2011 | Publication</w:t>
            </w:r>
          </w:p>
          <w:p>
            <w:pPr/>
            <w:r>
              <w:rPr/>
              <w:t xml:space="preserve">Contributing Author to Insurance Coverage Chapter, The Meth Solution: How to Eliminate Meth Residue in Homes, Donetta J. Held, How to Publishers (2011)</w:t>
            </w:r>
          </w:p>
          <w:p>
            <w:pPr>
              <w:pStyle w:val="Heading4"/>
            </w:pPr>
            <w:r>
              <w:rPr/>
              <w:t xml:space="preserve">2009 | Speaking Engagement</w:t>
            </w:r>
          </w:p>
          <w:p>
            <w:pPr/>
            <w:r>
              <w:rPr/>
              <w:t xml:space="preserve">Speaker “Insurance Coverage: It Pays When You Get It, But Can Cost You When You Don’t,” Indianapolis Bar Association</w:t>
            </w:r>
          </w:p>
          <w:p>
            <w:pPr>
              <w:pStyle w:val="Heading4"/>
            </w:pPr>
            <w:r>
              <w:rPr/>
              <w:t xml:space="preserve">2007 | Publication</w:t>
            </w:r>
          </w:p>
          <w:p>
            <w:pPr/>
            <w:r>
              <w:rPr/>
              <w:t xml:space="preserve">Author and Speaker, “Bad Faith Insurance Claims in Indiana,” National Business Institute</w:t>
            </w:r>
          </w:p>
          <w:p>
            <w:pPr>
              <w:pStyle w:val="Heading4"/>
            </w:pPr>
            <w:r>
              <w:rPr/>
              <w:t xml:space="preserve">2003 | Publication</w:t>
            </w:r>
          </w:p>
          <w:p>
            <w:pPr/>
            <w:r>
              <w:rPr/>
              <w:t xml:space="preserve">Author, International Criminal Court: Better than Nuremburg?, note, 14 Ind. Int’l &amp; Comp. L. Rev. (2003)</w:t>
            </w:r>
          </w:p>
          <w:p>
            <w:pPr/>
            <w:r>
              <w:rPr/>
              <w:t xml:space="preserve">Many speaking engagements on behalf of JLAP</w:t>
            </w:r>
          </w:p>
        </w:tc>
      </w:tr>
    </w:tbl>
    <w:sectPr>
      <w:headerReference w:type="default" r:id="rId19"/>
      <w:footerReference w:type="default" r:id="rId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TONYA J. BOND</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C2222D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9C9B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844CC0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DDCFA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22122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yperlink" Target="https://www.psrb.com/practice/business/" TargetMode="External"/><Relationship Id="rId10" Type="http://schemas.openxmlformats.org/officeDocument/2006/relationships/hyperlink" Target="https://www.psrb.com/practice/insurance-coverage/" TargetMode="External"/><Relationship Id="rId11" Type="http://schemas.openxmlformats.org/officeDocument/2006/relationships/hyperlink" Target="https://www.psrb.com/practice/litigation/" TargetMode="External"/><Relationship Id="rId12" Type="http://schemas.openxmlformats.org/officeDocument/2006/relationships/hyperlink" Target="https://www.psrb.com/industry/agribusiness/" TargetMode="External"/><Relationship Id="rId13" Type="http://schemas.openxmlformats.org/officeDocument/2006/relationships/hyperlink" Target="https://www.psrb.com/industry/education-schools/" TargetMode="External"/><Relationship Id="rId14" Type="http://schemas.openxmlformats.org/officeDocument/2006/relationships/hyperlink" Target="https://www.psrb.com/industry/manufacturing/" TargetMode="External"/><Relationship Id="rId15" Type="http://schemas.openxmlformats.org/officeDocument/2006/relationships/hyperlink" Target="https://www.psrb.com/industry/municipalities-government/" TargetMode="External"/><Relationship Id="rId16" Type="http://schemas.openxmlformats.org/officeDocument/2006/relationships/hyperlink" Target="https://www.psrb.com/industry/non-profit-religious-organizations/" TargetMode="External"/><Relationship Id="rId17" Type="http://schemas.openxmlformats.org/officeDocument/2006/relationships/hyperlink" Target="https://www.psrb.com/industry/petroleum-marketers/" TargetMode="External"/><Relationship Id="rId18" Type="http://schemas.openxmlformats.org/officeDocument/2006/relationships/hyperlink" Target="https://www.psrb.com/industry/waste-services/" TargetMode="External"/><Relationship Id="rId19" Type="http://schemas.openxmlformats.org/officeDocument/2006/relationships/header" Target="header1.xml"/><Relationship Id="rId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2024-03-28T16:15:03+00:00</dcterms:created>
  <dcterms:modified xsi:type="dcterms:W3CDTF">2024-03-28T16:15:03+00:00</dcterms:modified>
</cp:coreProperties>
</file>

<file path=docProps/custom.xml><?xml version="1.0" encoding="utf-8"?>
<Properties xmlns="http://schemas.openxmlformats.org/officeDocument/2006/custom-properties" xmlns:vt="http://schemas.openxmlformats.org/officeDocument/2006/docPropsVTypes"/>
</file>