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4500" w:type="dxa"/>
        <w:gridCol w:w="4500" w:type="dxa"/>
      </w:tblGrid>
      <w:tr>
        <w:trPr/>
        <w:tc>
          <w:tcPr>
            <w:tcW w:w="4500" w:type="dxa"/>
          </w:tcPr>
          <w:p>
            <w:pPr>
              <w:pStyle w:val="AlignCenter2"/>
            </w:pPr>
            <w:r>
              <w:pict>
                <v:shape type="#_x0000_t75" stroked="f" style="width:228pt; height:174.021201413pt; margin-left:0pt; margin-top:0pt; mso-position-horizontal:left; mso-position-vertical:top; mso-position-horizontal-relative:char; mso-position-vertical-relative:line; z-index:-2147483647;">
                  <v:imagedata r:id="rId7" o:title=""/>
                </v:shape>
              </w:pict>
            </w:r>
          </w:p>
        </w:tc>
        <w:tc>
          <w:tcPr>
            <w:tcW w:w="4500" w:type="dxa"/>
            <w:vAlign w:val="center"/>
            <w:shd w:val="clear" w:fill="287c96"/>
          </w:tcPr>
          <w:p>
            <w:pPr>
              <w:pStyle w:val="AlignCenter"/>
            </w:pPr>
            <w:r>
              <w:rPr>
                <w:color w:val="ffffff"/>
              </w:rPr>
              <w:t xml:space="preserve">ASSOCIATE</w:t>
            </w:r>
          </w:p>
          <w:p>
            <w:pPr>
              <w:pStyle w:val="AlignCenter"/>
            </w:pPr>
            <w:r>
              <w:rPr>
                <w:color w:val="ffffff"/>
                <w:sz w:val="34"/>
                <w:szCs w:val="34"/>
              </w:rPr>
              <w:t xml:space="preserve">CHRISTOPHER E. KOZAK</w:t>
            </w:r>
          </w:p>
          <w:p>
            <w:pPr>
              <w:pStyle w:val="AlignCenter2"/>
            </w:pPr>
            <w:r>
              <w:rPr>
                <w:color w:val="ffffff"/>
                <w:b w:val="1"/>
                <w:bCs w:val="1"/>
              </w:rPr>
              <w:t xml:space="preserve">T. </w:t>
            </w:r>
            <w:r>
              <w:rPr>
                <w:color w:val="ffffff"/>
              </w:rPr>
              <w:t xml:space="preserve">317-637-0700 x211</w:t>
            </w:r>
          </w:p>
          <w:p>
            <w:pPr>
              <w:pStyle w:val="AlignCenter2"/>
            </w:pPr>
            <w:r>
              <w:rPr>
                <w:color w:val="ffffff"/>
                <w:b w:val="1"/>
                <w:bCs w:val="1"/>
              </w:rPr>
              <w:t xml:space="preserve">E. </w:t>
            </w:r>
            <w:r>
              <w:rPr>
                <w:color w:val="ffffff"/>
              </w:rPr>
              <w:t xml:space="preserve">ckozak@psrb.com</w:t>
            </w:r>
          </w:p>
          <w:p>
            <w:pPr>
              <w:pStyle w:val="AlignCenter2"/>
            </w:pPr>
            <w:hyperlink r:id="rId8" w:history="1">
              <w:r>
                <w:rPr>
                  <w:color w:val="ffffff"/>
                </w:rPr>
                <w:t xml:space="preserve">Office: Indianapolis</w:t>
              </w:r>
            </w:hyperlink>
          </w:p>
        </w:tc>
      </w:tr>
    </w:tbl>
    <w:p>
      <w:pPr/>
      <w:r>
        <w:rPr/>
        <w:t xml:space="preserve"/>
      </w:r>
    </w:p>
    <w:tbl>
      <w:tblGrid>
        <w:gridCol w:w="2250" w:type="dxa"/>
        <w:gridCol w:w="6750" w:type="dxa"/>
      </w:tblGrid>
      <w:tr>
        <w:trPr/>
        <w:tc>
          <w:tcPr>
            <w:tcW w:w="2250" w:type="dxa"/>
          </w:tcPr>
          <w:p>
            <w:pPr>
              <w:pStyle w:val="Heading3"/>
            </w:pPr>
            <w:r>
              <w:rPr/>
              <w:t xml:space="preserve">Practices</w:t>
            </w:r>
          </w:p>
          <w:p>
            <w:pPr/>
            <w:hyperlink r:id="rId9" w:history="1">
              <w:r>
                <w:rPr/>
                <w:t xml:space="preserve">Business</w:t>
              </w:r>
            </w:hyperlink>
          </w:p>
          <w:p>
            <w:pPr/>
            <w:hyperlink r:id="rId10" w:history="1">
              <w:r>
                <w:rPr/>
                <w:t xml:space="preserve">Environmental</w:t>
              </w:r>
            </w:hyperlink>
          </w:p>
          <w:p>
            <w:pPr/>
            <w:hyperlink r:id="rId11" w:history="1">
              <w:r>
                <w:rPr/>
                <w:t xml:space="preserve">Insurance Coverage</w:t>
              </w:r>
            </w:hyperlink>
          </w:p>
          <w:p>
            <w:pPr/>
            <w:hyperlink r:id="rId12" w:history="1">
              <w:r>
                <w:rPr/>
                <w:t xml:space="preserve">Litigation</w:t>
              </w:r>
            </w:hyperlink>
          </w:p>
          <w:p>
            <w:pPr>
              <w:pStyle w:val="Heading3"/>
            </w:pPr>
            <w:r>
              <w:rPr/>
              <w:t xml:space="preserve">Industries</w:t>
            </w:r>
          </w:p>
          <w:p>
            <w:pPr/>
            <w:hyperlink r:id="rId13" w:history="1">
              <w:r>
                <w:rPr/>
                <w:t xml:space="preserve">Energy &amp; Utilities</w:t>
              </w:r>
            </w:hyperlink>
          </w:p>
          <w:p>
            <w:pPr/>
            <w:hyperlink r:id="rId14" w:history="1">
              <w:r>
                <w:rPr/>
                <w:t xml:space="preserve">Health Care &amp; Life Sciences</w:t>
              </w:r>
            </w:hyperlink>
          </w:p>
          <w:p>
            <w:pPr/>
            <w:hyperlink r:id="rId15" w:history="1">
              <w:r>
                <w:rPr/>
                <w:t xml:space="preserve">Manufacturing</w:t>
              </w:r>
            </w:hyperlink>
          </w:p>
          <w:p>
            <w:pPr/>
            <w:hyperlink r:id="rId16" w:history="1">
              <w:r>
                <w:rPr/>
                <w:t xml:space="preserve">Municipalities &amp; Government</w:t>
              </w:r>
            </w:hyperlink>
          </w:p>
          <w:p>
            <w:pPr/>
            <w:hyperlink r:id="rId17" w:history="1">
              <w:r>
                <w:rPr/>
                <w:t xml:space="preserve">Real Estate Development &amp; Construction</w:t>
              </w:r>
            </w:hyperlink>
          </w:p>
        </w:tc>
        <w:tc>
          <w:tcPr>
            <w:tcW w:w="6750" w:type="dxa"/>
          </w:tcPr>
          <w:p>
            <w:pPr>
              <w:pStyle w:val="Heading1"/>
            </w:pPr>
            <w:r>
              <w:rPr/>
              <w:t xml:space="preserve">Overview</w:t>
            </w:r>
          </w:p>
          <w:p>
            <w:pPr/>
            <w:r>
              <w:rPr/>
              <w:t xml:space="preserve">Chris is a top-flight insurance-coverage and appellate litigator. He has written briefs in over 20 appellate matters and has experience with CGL, D&amp;O, EPL, Professional Liability, Homeowner’s, Commercial Property, Business Income, Excess/Umbrella, and life insurance coverage. He is known for his ability to penetrate complex issues, identify and wrangle the relevant details, and present them to courts with clarity and wit. He uses those skills to his clients’ advantage when disputes go to court, where providing a clear argument in a complicated case can be the difference between winning and losing. Chris’s clients range from individual policyholders to multi-national companies, and he has assisted clients in disputes ranging from $1,200 to those involving hundreds of millions of dollars.</w:t>
            </w:r>
          </w:p>
          <w:p>
            <w:pPr/>
            <w:r>
              <w:rPr/>
              <w:t xml:space="preserve">Chris is a </w:t>
            </w:r>
            <w:r>
              <w:rPr>
                <w:i w:val="1"/>
                <w:iCs w:val="1"/>
              </w:rPr>
              <w:t xml:space="preserve">summa cum laude</w:t>
            </w:r>
            <w:r>
              <w:rPr/>
              <w:t xml:space="preserve"> graduate of the Michigan State University College of Law and comes to PSRB with experience in a broad range of legal subjects, including federal jurisdiction, civil procedure, e-discovery, administrative law, and evidence. He has also done extensive immigration work with the University of Michigan Law School’s Human Trafficking Clinic. As a member and Editor of the law review, he has reviewed hundreds of articles on current legal subjects and determined which ones would contribute best to the development of the law. And while clerking for Judge David McKeague on the U.S. Court of Appeals for the Sixth Circuit, he advised the Judge on 25% of the appeals assigned to the chambers, requiring him to learn about virtually every kind of law that surfaces in federal court. This broad knowledge base allows Chris to think about client problems creatively and pursue innovative legal strategies.</w:t>
            </w:r>
          </w:p>
          <w:p>
            <w:pPr/>
            <w:r>
              <w:rPr/>
              <w:t xml:space="preserve">When he has time, Chris enjoys doing pro bono work, and is particularly interested in civil rights issues and in assisting survivors of human trafficking.</w:t>
            </w:r>
          </w:p>
          <w:p>
            <w:pPr/>
            <w:r>
              <w:rPr/>
              <w:t xml:space="preserve"> </w:t>
            </w:r>
          </w:p>
          <w:p>
            <w:pPr>
              <w:pStyle w:val="Heading1"/>
            </w:pPr>
            <w:r>
              <w:rPr/>
              <w:t xml:space="preserve">Education</w:t>
            </w:r>
          </w:p>
          <w:p>
            <w:pPr>
              <w:numPr>
                <w:ilvl w:val="0"/>
                <w:numId w:val="11"/>
              </w:numPr>
            </w:pPr>
            <w:r>
              <w:rPr/>
              <w:t xml:space="preserve">J.D., </w:t>
            </w:r>
            <w:r>
              <w:rPr>
                <w:i w:val="1"/>
                <w:iCs w:val="1"/>
              </w:rPr>
              <w:t xml:space="preserve">summa cum laude, </w:t>
            </w:r>
            <w:r>
              <w:rPr/>
              <w:t xml:space="preserve">2017, Michigan State University College of Law</w:t>
            </w:r>
          </w:p>
          <w:p>
            <w:pPr>
              <w:numPr>
                <w:ilvl w:val="0"/>
                <w:numId w:val="11"/>
              </w:numPr>
            </w:pPr>
            <w:r>
              <w:rPr/>
              <w:t xml:space="preserve">B.A., </w:t>
            </w:r>
            <w:r>
              <w:rPr>
                <w:i w:val="1"/>
                <w:iCs w:val="1"/>
              </w:rPr>
              <w:t xml:space="preserve">summa cum laude</w:t>
            </w:r>
            <w:r>
              <w:rPr/>
              <w:t xml:space="preserve">, 2014, Legal Studies, Ball State University</w:t>
            </w:r>
          </w:p>
          <w:p>
            <w:pPr>
              <w:pStyle w:val="Heading1"/>
            </w:pPr>
            <w:r>
              <w:rPr/>
              <w:t xml:space="preserve">Bar Admissions</w:t>
            </w:r>
          </w:p>
          <w:p>
            <w:pPr>
              <w:numPr>
                <w:ilvl w:val="0"/>
                <w:numId w:val="12"/>
              </w:numPr>
            </w:pPr>
            <w:r>
              <w:rPr/>
              <w:t xml:space="preserve">U.S Supreme Court, 2021</w:t>
            </w:r>
          </w:p>
          <w:p>
            <w:pPr>
              <w:numPr>
                <w:ilvl w:val="0"/>
                <w:numId w:val="12"/>
              </w:numPr>
            </w:pPr>
            <w:r>
              <w:rPr/>
              <w:t xml:space="preserve">U.S. Court of Appeals for the Ninth Circuit, 2021</w:t>
            </w:r>
          </w:p>
          <w:p>
            <w:pPr>
              <w:numPr>
                <w:ilvl w:val="0"/>
                <w:numId w:val="12"/>
              </w:numPr>
            </w:pPr>
            <w:r>
              <w:rPr/>
              <w:t xml:space="preserve">U.S. Court of Appeals for the Tenth Circuit, 2019</w:t>
            </w:r>
          </w:p>
          <w:p>
            <w:pPr>
              <w:numPr>
                <w:ilvl w:val="0"/>
                <w:numId w:val="12"/>
              </w:numPr>
            </w:pPr>
            <w:r>
              <w:rPr/>
              <w:t xml:space="preserve">U.S. Court of Appeals for the Seventh Circuit, 2019</w:t>
            </w:r>
          </w:p>
          <w:p>
            <w:pPr>
              <w:numPr>
                <w:ilvl w:val="0"/>
                <w:numId w:val="12"/>
              </w:numPr>
            </w:pPr>
            <w:r>
              <w:rPr/>
              <w:t xml:space="preserve">State of Indiana, 2019</w:t>
            </w:r>
          </w:p>
          <w:p>
            <w:pPr>
              <w:numPr>
                <w:ilvl w:val="0"/>
                <w:numId w:val="12"/>
              </w:numPr>
            </w:pPr>
            <w:r>
              <w:rPr/>
              <w:t xml:space="preserve">State of Michigan, 2017</w:t>
            </w:r>
          </w:p>
          <w:p>
            <w:pPr>
              <w:numPr>
                <w:ilvl w:val="0"/>
                <w:numId w:val="12"/>
              </w:numPr>
            </w:pPr>
            <w:r>
              <w:rPr/>
              <w:t xml:space="preserve">U.S. Court of Appeals, Sixth Circuit, 2018</w:t>
            </w:r>
          </w:p>
          <w:p>
            <w:pPr>
              <w:numPr>
                <w:ilvl w:val="0"/>
                <w:numId w:val="12"/>
              </w:numPr>
            </w:pPr>
            <w:r>
              <w:rPr/>
              <w:t xml:space="preserve">U.S. District Court, Western District of Michigan, 2018</w:t>
            </w:r>
          </w:p>
          <w:p>
            <w:pPr>
              <w:numPr>
                <w:ilvl w:val="0"/>
                <w:numId w:val="12"/>
              </w:numPr>
            </w:pPr>
            <w:r>
              <w:rPr/>
              <w:t xml:space="preserve">U.S. District Court, Eastern District of Michigan, 2018</w:t>
            </w:r>
          </w:p>
          <w:p>
            <w:pPr>
              <w:numPr>
                <w:ilvl w:val="0"/>
                <w:numId w:val="12"/>
              </w:numPr>
            </w:pPr>
            <w:r>
              <w:rPr/>
              <w:t xml:space="preserve">U.S. District Court, Northern District of Indiana, 2018</w:t>
            </w:r>
          </w:p>
          <w:p>
            <w:pPr>
              <w:numPr>
                <w:ilvl w:val="0"/>
                <w:numId w:val="12"/>
              </w:numPr>
            </w:pPr>
            <w:r>
              <w:rPr/>
              <w:t xml:space="preserve">U.S. District Court, Southern District of Indiana, 2018</w:t>
            </w:r>
          </w:p>
          <w:p>
            <w:pPr>
              <w:pStyle w:val="Heading1"/>
            </w:pPr>
            <w:r>
              <w:rPr/>
              <w:t xml:space="preserve">Experience</w:t>
            </w:r>
          </w:p>
          <w:p>
            <w:pPr>
              <w:numPr>
                <w:ilvl w:val="0"/>
                <w:numId w:val="13"/>
              </w:numPr>
            </w:pPr>
            <w:r>
              <w:rPr/>
              <w:t xml:space="preserve">Counsel for Appellee, </w:t>
            </w:r>
            <w:r>
              <w:rPr>
                <w:i w:val="1"/>
                <w:iCs w:val="1"/>
              </w:rPr>
              <w:t xml:space="preserve">USA Gymnastics v. Liberty Ins. Underwriters, Inc., </w:t>
            </w:r>
            <w:r>
              <w:rPr/>
              <w:t xml:space="preserve">46 F. 4th 571 (7th Cir. 2022)</w:t>
            </w:r>
          </w:p>
          <w:p>
            <w:pPr>
              <w:numPr>
                <w:ilvl w:val="0"/>
                <w:numId w:val="13"/>
              </w:numPr>
            </w:pPr>
            <w:r>
              <w:rPr/>
              <w:t xml:space="preserve">Counsel for Appellee, </w:t>
            </w:r>
            <w:r>
              <w:rPr>
                <w:i w:val="1"/>
                <w:iCs w:val="1"/>
              </w:rPr>
              <w:t xml:space="preserve">USA Gymnastics v. Liberty Ins. Underwriters</w:t>
            </w:r>
            <w:r>
              <w:rPr/>
              <w:t xml:space="preserve">, 46 F.4th 499 (7th Cir. 2022)</w:t>
            </w:r>
          </w:p>
          <w:p>
            <w:pPr>
              <w:numPr>
                <w:ilvl w:val="0"/>
                <w:numId w:val="13"/>
              </w:numPr>
            </w:pPr>
            <w:r>
              <w:rPr/>
              <w:t xml:space="preserve">Counsel of Record for Amicus Curiae, </w:t>
            </w:r>
            <w:r>
              <w:rPr>
                <w:i w:val="1"/>
                <w:iCs w:val="1"/>
              </w:rPr>
              <w:t xml:space="preserve">Mallory v. Norfolk S. Ry. Co.</w:t>
            </w:r>
            <w:r>
              <w:rPr/>
              <w:t xml:space="preserve">, No. 21-1168 (U.S., Heard Nov. 4, 2022).</w:t>
            </w:r>
          </w:p>
          <w:p>
            <w:pPr>
              <w:numPr>
                <w:ilvl w:val="0"/>
                <w:numId w:val="13"/>
              </w:numPr>
            </w:pPr>
            <w:r>
              <w:rPr/>
              <w:t xml:space="preserve">Counsel for Appellant, </w:t>
            </w:r>
            <w:r>
              <w:rPr>
                <w:i w:val="1"/>
                <w:iCs w:val="1"/>
              </w:rPr>
              <w:t xml:space="preserve">Ind. Repertory Theatre v. Cincinnati Ins. Co.</w:t>
            </w:r>
            <w:r>
              <w:rPr/>
              <w:t xml:space="preserve">, No. 21A-CP-2848 (Ind. Ct. App.) (Heard Jan. 17, 2023)</w:t>
            </w:r>
          </w:p>
          <w:p>
            <w:pPr>
              <w:numPr>
                <w:ilvl w:val="0"/>
                <w:numId w:val="13"/>
              </w:numPr>
            </w:pPr>
            <w:r>
              <w:rPr/>
              <w:t xml:space="preserve">Counsel for Amicus Curiae, </w:t>
            </w:r>
            <w:r>
              <w:rPr>
                <w:i w:val="1"/>
                <w:iCs w:val="1"/>
              </w:rPr>
              <w:t xml:space="preserve">Stant USA Corp. v. Factory Mut. Ins. Co.</w:t>
            </w:r>
            <w:r>
              <w:rPr/>
              <w:t xml:space="preserve">, 22-1336 (7th Cir.) (Heard Nov. 1, 2022)</w:t>
            </w:r>
          </w:p>
          <w:p>
            <w:pPr>
              <w:numPr>
                <w:ilvl w:val="0"/>
                <w:numId w:val="13"/>
              </w:numPr>
            </w:pPr>
            <w:r>
              <w:rPr/>
              <w:t xml:space="preserve">Counsel for Amicus Curiae, </w:t>
            </w:r>
            <w:r>
              <w:rPr>
                <w:i w:val="1"/>
                <w:iCs w:val="1"/>
              </w:rPr>
              <w:t xml:space="preserve">First &amp; Stewart Hotel Owner, LLC v. Fireman’s Fund Ins. Co.</w:t>
            </w:r>
            <w:r>
              <w:rPr/>
              <w:t xml:space="preserve">, No. 21-35637 (9th Cir.)</w:t>
            </w:r>
          </w:p>
          <w:p>
            <w:pPr>
              <w:numPr>
                <w:ilvl w:val="0"/>
                <w:numId w:val="13"/>
              </w:numPr>
            </w:pPr>
            <w:r>
              <w:rPr/>
              <w:t xml:space="preserve">Counsel for Appellant, </w:t>
            </w:r>
            <w:r>
              <w:rPr>
                <w:i w:val="1"/>
                <w:iCs w:val="1"/>
              </w:rPr>
              <w:t xml:space="preserve">Ind. Repertory Theatre v. Cincinnati Ins. Co.</w:t>
            </w:r>
            <w:r>
              <w:rPr/>
              <w:t xml:space="preserve">, No. 21A-PL-628 (Ind. Ct. App. 2022)</w:t>
            </w:r>
          </w:p>
          <w:p>
            <w:pPr>
              <w:numPr>
                <w:ilvl w:val="0"/>
                <w:numId w:val="13"/>
              </w:numPr>
            </w:pPr>
            <w:r>
              <w:rPr/>
              <w:t xml:space="preserve">Counsel for Amicus Curiae Purdue University, </w:t>
            </w:r>
            <w:r>
              <w:rPr>
                <w:i w:val="1"/>
                <w:iCs w:val="1"/>
              </w:rPr>
              <w:t xml:space="preserve">Circle Block Partners, LLC v. Fireman’s Fund Ins. Co.</w:t>
            </w:r>
            <w:r>
              <w:rPr/>
              <w:t xml:space="preserve">, No. 21-2459 (7th Cir. 2022)</w:t>
            </w:r>
          </w:p>
          <w:p>
            <w:pPr>
              <w:numPr>
                <w:ilvl w:val="0"/>
                <w:numId w:val="13"/>
              </w:numPr>
            </w:pPr>
            <w:r>
              <w:rPr/>
              <w:t xml:space="preserve">Counsel of Record for Amicus Curiae, </w:t>
            </w:r>
            <w:r>
              <w:rPr>
                <w:i w:val="1"/>
                <w:iCs w:val="1"/>
              </w:rPr>
              <w:t xml:space="preserve">Wild Eggs Holdings, Inc. v. State Auto Prop. &amp; Cas. Co.</w:t>
            </w:r>
            <w:r>
              <w:rPr/>
              <w:t xml:space="preserve">, 48 F.4th 645 (6th Cir. 2022)</w:t>
            </w:r>
          </w:p>
          <w:p>
            <w:pPr>
              <w:numPr>
                <w:ilvl w:val="0"/>
                <w:numId w:val="13"/>
              </w:numPr>
            </w:pPr>
            <w:r>
              <w:rPr/>
              <w:t xml:space="preserve">Counsel of Record for Amicus Curiae, </w:t>
            </w:r>
            <w:r>
              <w:rPr>
                <w:i w:val="1"/>
                <w:iCs w:val="1"/>
              </w:rPr>
              <w:t xml:space="preserve">Mikmar, Inc. v. Westfield Ins. Co.</w:t>
            </w:r>
            <w:r>
              <w:rPr/>
              <w:t xml:space="preserve">, No. 21-3230 (6th Cir. 2022)</w:t>
            </w:r>
          </w:p>
          <w:p>
            <w:pPr>
              <w:numPr>
                <w:ilvl w:val="0"/>
                <w:numId w:val="13"/>
              </w:numPr>
            </w:pPr>
            <w:r>
              <w:rPr/>
              <w:t xml:space="preserve">Counsel of Record for Respondents, </w:t>
            </w:r>
            <w:r>
              <w:rPr>
                <w:i w:val="1"/>
                <w:iCs w:val="1"/>
              </w:rPr>
              <w:t xml:space="preserve">State ex rel. Zurich Am. Ins. Co. v. Tom James Co., et al.</w:t>
            </w:r>
            <w:r>
              <w:rPr/>
              <w:t xml:space="preserve">, No. 21S-OR-482 (Ind. 2021).</w:t>
            </w:r>
          </w:p>
          <w:p>
            <w:pPr>
              <w:numPr>
                <w:ilvl w:val="0"/>
                <w:numId w:val="13"/>
              </w:numPr>
            </w:pPr>
            <w:r>
              <w:rPr/>
              <w:t xml:space="preserve">Counsel of Record for Amicus Curiae, </w:t>
            </w:r>
            <w:r>
              <w:rPr>
                <w:i w:val="1"/>
                <w:iCs w:val="1"/>
              </w:rPr>
              <w:t xml:space="preserve">Kirsch v. Aspen Am. Ins. Co.</w:t>
            </w:r>
            <w:r>
              <w:rPr/>
              <w:t xml:space="preserve">, No. 21-1038 (6th Cir. 2021)</w:t>
            </w:r>
          </w:p>
          <w:p>
            <w:pPr>
              <w:numPr>
                <w:ilvl w:val="0"/>
                <w:numId w:val="13"/>
              </w:numPr>
            </w:pPr>
            <w:r>
              <w:rPr/>
              <w:t xml:space="preserve">Counsel of Record for Amicus Curiae, </w:t>
            </w:r>
            <w:r>
              <w:rPr>
                <w:i w:val="1"/>
                <w:iCs w:val="1"/>
              </w:rPr>
              <w:t xml:space="preserve">Santo’s Italian Café v. Acuity Ins. Co.</w:t>
            </w:r>
            <w:r>
              <w:rPr/>
              <w:t xml:space="preserve">, No. 21-3068 (6th Cir. 2021)</w:t>
            </w:r>
          </w:p>
          <w:p>
            <w:pPr>
              <w:numPr>
                <w:ilvl w:val="0"/>
                <w:numId w:val="13"/>
              </w:numPr>
            </w:pPr>
            <w:r>
              <w:rPr/>
              <w:t xml:space="preserve">Counsel of Record for Amicus Curiae, </w:t>
            </w:r>
            <w:r>
              <w:rPr>
                <w:i w:val="1"/>
                <w:iCs w:val="1"/>
              </w:rPr>
              <w:t xml:space="preserve">Dakota Girls, LLC v. Phila. Indem. Ins. Co.</w:t>
            </w:r>
            <w:r>
              <w:rPr/>
              <w:t xml:space="preserve">, No. 21-3245 (6th Cir. 2021)</w:t>
            </w:r>
          </w:p>
          <w:p>
            <w:pPr>
              <w:numPr>
                <w:ilvl w:val="0"/>
                <w:numId w:val="13"/>
              </w:numPr>
            </w:pPr>
            <w:r>
              <w:rPr/>
              <w:t xml:space="preserve">Counsel for Amicus Curiae, </w:t>
            </w:r>
            <w:r>
              <w:rPr>
                <w:i w:val="1"/>
                <w:iCs w:val="1"/>
              </w:rPr>
              <w:t xml:space="preserve">TJBC, Inc. v. Cincinnati Ins. Co.</w:t>
            </w:r>
            <w:r>
              <w:rPr/>
              <w:t xml:space="preserve">, No. 21-1203; </w:t>
            </w:r>
            <w:r>
              <w:rPr>
                <w:i w:val="1"/>
                <w:iCs w:val="1"/>
              </w:rPr>
              <w:t xml:space="preserve">Sandy Point Dental v. Cincinnati Ins. Co.</w:t>
            </w:r>
            <w:r>
              <w:rPr/>
              <w:t xml:space="preserve">, No. 21-1186; </w:t>
            </w:r>
            <w:r>
              <w:rPr>
                <w:i w:val="1"/>
                <w:iCs w:val="1"/>
              </w:rPr>
              <w:t xml:space="preserve">Crescent Plaza Hotel Owner v. Zurich Am. Ins. Co.</w:t>
            </w:r>
            <w:r>
              <w:rPr/>
              <w:t xml:space="preserve">, No. 21-1316 (7th Cir. 2021)</w:t>
            </w:r>
          </w:p>
          <w:p>
            <w:pPr>
              <w:numPr>
                <w:ilvl w:val="0"/>
                <w:numId w:val="13"/>
              </w:numPr>
            </w:pPr>
            <w:r>
              <w:rPr/>
              <w:t xml:space="preserve">Counsel of Record for Appellant (Argued), </w:t>
            </w:r>
            <w:r>
              <w:rPr>
                <w:i w:val="1"/>
                <w:iCs w:val="1"/>
              </w:rPr>
              <w:t xml:space="preserve">United States v. Stokes</w:t>
            </w:r>
            <w:r>
              <w:rPr/>
              <w:t xml:space="preserve">, No. 19-5934 (6th Cir. 2020)</w:t>
            </w:r>
          </w:p>
          <w:p>
            <w:pPr>
              <w:numPr>
                <w:ilvl w:val="0"/>
                <w:numId w:val="13"/>
              </w:numPr>
            </w:pPr>
            <w:r>
              <w:rPr/>
              <w:t xml:space="preserve">Counsel for Appellant, </w:t>
            </w:r>
            <w:r>
              <w:rPr>
                <w:i w:val="1"/>
                <w:iCs w:val="1"/>
              </w:rPr>
              <w:t xml:space="preserve">Clark-Floyd Landfill, LLC v. Gonzalez</w:t>
            </w:r>
            <w:r>
              <w:rPr/>
              <w:t xml:space="preserve">, No. 19A-CT-2680 (Ind. Ct. App. 2020)</w:t>
            </w:r>
          </w:p>
          <w:p>
            <w:pPr>
              <w:numPr>
                <w:ilvl w:val="0"/>
                <w:numId w:val="13"/>
              </w:numPr>
            </w:pPr>
            <w:r>
              <w:rPr/>
              <w:t xml:space="preserve">Counsel for Amicus Curiae Supporting Rehearing, </w:t>
            </w:r>
            <w:r>
              <w:rPr>
                <w:i w:val="1"/>
                <w:iCs w:val="1"/>
              </w:rPr>
              <w:t xml:space="preserve">Emmis Communs. Corp. v. Ill. Nat’l Ins. Co.</w:t>
            </w:r>
            <w:r>
              <w:rPr/>
              <w:t xml:space="preserve">, 929 F.3d 411, </w:t>
            </w:r>
            <w:r>
              <w:rPr>
                <w:i w:val="1"/>
                <w:iCs w:val="1"/>
              </w:rPr>
              <w:t xml:space="preserve">reh’g granted</w:t>
            </w:r>
            <w:r>
              <w:rPr/>
              <w:t xml:space="preserve">, 937 F.3d 836 (7th Cir. 2019)</w:t>
            </w:r>
          </w:p>
          <w:p>
            <w:pPr>
              <w:numPr>
                <w:ilvl w:val="0"/>
                <w:numId w:val="13"/>
              </w:numPr>
            </w:pPr>
            <w:r>
              <w:rPr/>
              <w:t xml:space="preserve">Co-Counsel for Appellants, </w:t>
            </w:r>
            <w:r>
              <w:rPr>
                <w:i w:val="1"/>
                <w:iCs w:val="1"/>
              </w:rPr>
              <w:t xml:space="preserve">In re Syngenta AG MIR 162 Corn Litig.</w:t>
            </w:r>
            <w:r>
              <w:rPr/>
              <w:t xml:space="preserve">, No. 18-3253 (10th Cir. 2019)</w:t>
            </w:r>
          </w:p>
          <w:p>
            <w:pPr>
              <w:pStyle w:val="Heading1"/>
            </w:pPr>
            <w:r>
              <w:rPr/>
              <w:t xml:space="preserve">Articles &amp; Events</w:t>
            </w:r>
          </w:p>
          <w:p>
            <w:pPr>
              <w:pStyle w:val="Heading4"/>
            </w:pPr>
            <w:r>
              <w:rPr/>
              <w:t xml:space="preserve">2023 | Author</w:t>
            </w:r>
          </w:p>
          <w:p>
            <w:pPr/>
            <w:r>
              <w:rPr>
                <w:i w:val="1"/>
                <w:iCs w:val="1"/>
              </w:rPr>
              <w:t xml:space="preserve">The Original Thirteenth Amendment: A Rule of Liberty</w:t>
            </w:r>
            <w:r>
              <w:rPr/>
              <w:t xml:space="preserve">, 53 Cumb. L. Rev. – TBA</w:t>
            </w:r>
          </w:p>
          <w:p>
            <w:pPr>
              <w:pStyle w:val="Heading4"/>
            </w:pPr>
            <w:r>
              <w:rPr/>
              <w:t xml:space="preserve">2023 | Co-Author</w:t>
            </w:r>
          </w:p>
          <w:p>
            <w:pPr/>
            <w:r>
              <w:rPr/>
              <w:t xml:space="preserve">COVID-19</w:t>
            </w:r>
            <w:r>
              <w:rPr>
                <w:i w:val="1"/>
                <w:iCs w:val="1"/>
              </w:rPr>
              <w:t xml:space="preserve"> and Business-Income Insurance: The History of “Physical Loss” and What Insurers Intended it to Mean</w:t>
            </w:r>
            <w:r>
              <w:rPr/>
              <w:t xml:space="preserve">, 57 Tort Trial &amp; Ins. Prac. L.J. 675 (2023)</w:t>
            </w:r>
          </w:p>
          <w:p>
            <w:pPr>
              <w:pStyle w:val="Heading4"/>
            </w:pPr>
            <w:r>
              <w:rPr/>
              <w:t xml:space="preserve">2022 | Co-Author</w:t>
            </w:r>
          </w:p>
          <w:p>
            <w:pPr/>
            <w:r>
              <w:rPr>
                <w:i w:val="1"/>
                <w:iCs w:val="1"/>
              </w:rPr>
              <w:t xml:space="preserve">Couch’s “Physical Alteration” Fallacy: Its Origins and Consequences</w:t>
            </w:r>
            <w:r>
              <w:rPr/>
              <w:t xml:space="preserve">, 56 Tort Trial &amp; Ins. Prac. L.J.</w:t>
            </w:r>
          </w:p>
          <w:p>
            <w:pPr>
              <w:pStyle w:val="Heading4"/>
            </w:pPr>
            <w:r>
              <w:rPr/>
              <w:t xml:space="preserve">2020 | Co-Author</w:t>
            </w:r>
          </w:p>
          <w:p>
            <w:pPr/>
            <w:r>
              <w:rPr>
                <w:i w:val="1"/>
                <w:iCs w:val="1"/>
              </w:rPr>
              <w:t xml:space="preserve">No One Knows What “Physical Loss” Means: All-Risk Insurance and the Coronavirus</w:t>
            </w:r>
            <w:r>
              <w:rPr/>
              <w:t xml:space="preserve">, 13:4 Mich. J. Ins. &amp; Indem. L. 9 (Oct. 2020)</w:t>
            </w:r>
          </w:p>
          <w:p>
            <w:pPr>
              <w:pStyle w:val="Heading4"/>
            </w:pPr>
            <w:r>
              <w:rPr/>
              <w:t xml:space="preserve">2019 | Author</w:t>
            </w:r>
          </w:p>
          <w:p>
            <w:pPr/>
            <w:r>
              <w:rPr/>
              <w:t xml:space="preserve">Michigan Insurance and Indemnity Law Journal, </w:t>
            </w:r>
            <w:r>
              <w:rPr>
                <w:i w:val="1"/>
                <w:iCs w:val="1"/>
              </w:rPr>
              <w:t xml:space="preserve">Who Says I’m a Criminal? Marijuana Cultivation and the Criminal-Act Exclusion</w:t>
            </w:r>
          </w:p>
          <w:p>
            <w:pPr>
              <w:pStyle w:val="Heading4"/>
            </w:pPr>
            <w:r>
              <w:rPr/>
              <w:t xml:space="preserve">2019 | Co-Author</w:t>
            </w:r>
          </w:p>
          <w:p>
            <w:pPr/>
            <w:r>
              <w:rPr/>
              <w:t xml:space="preserve">Law360, </w:t>
            </w:r>
            <w:r>
              <w:rPr>
                <w:i w:val="1"/>
                <w:iCs w:val="1"/>
              </w:rPr>
              <w:t xml:space="preserve">7th Circ. Decision Creates Minefield for Insurance Industry</w:t>
            </w:r>
          </w:p>
          <w:p>
            <w:pPr>
              <w:pStyle w:val="Heading4"/>
            </w:pPr>
            <w:r>
              <w:rPr/>
              <w:t xml:space="preserve">2018 | Author</w:t>
            </w:r>
          </w:p>
          <w:p>
            <w:pPr/>
            <w:r>
              <w:rPr>
                <w:i w:val="1"/>
                <w:iCs w:val="1"/>
              </w:rPr>
              <w:t xml:space="preserve">Private Habeas</w:t>
            </w:r>
            <w:r>
              <w:rPr/>
              <w:t xml:space="preserve"> 13 Intercultural Hum. Rts. L. Rev. 261  (2018)</w:t>
            </w:r>
          </w:p>
          <w:p>
            <w:pPr>
              <w:pStyle w:val="Heading4"/>
            </w:pPr>
            <w:r>
              <w:rPr/>
              <w:t xml:space="preserve">2017 | Author</w:t>
            </w:r>
          </w:p>
          <w:p>
            <w:pPr/>
            <w:r>
              <w:rPr>
                <w:i w:val="1"/>
                <w:iCs w:val="1"/>
              </w:rPr>
              <w:t xml:space="preserve">Originalism, Human Trafficking, and the Thirteenth Amendment</w:t>
            </w:r>
            <w:r>
              <w:rPr/>
              <w:t xml:space="preserve">, 11 S.J. Pol’y &amp; Just. 62 (2017)</w:t>
            </w:r>
          </w:p>
        </w:tc>
      </w:tr>
    </w:tbl>
    <w:sectPr>
      <w:headerReference w:type="default" r:id="rId18"/>
      <w:footerReference w:type="default" r:id="rId1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type id="_x0000_t32" coordsize="21600,21600" o:spt="32" o:oned="t" path="m,l21600,21600e" filled="f">
          <v:path arrowok="t" fillok="f" o:connecttype="none"/>
          <o:lock v:ext="edit" shapetype="t"/>
        </v:shapetype>
        <v:shape id="_x0000_s1001" type="#_x0000_t32" style="width:450pt; height:0pt; margin-left:0pt; margin-top:0pt; mso-position-horizontal:left; mso-position-vertical:top; mso-position-horizontal-relative:char; mso-position-vertical-relative:line;">
          <w10:wrap type="inline"/>
          <v:stroke weight="1pt" color="e0e0e0"/>
        </v:shape>
      </w:pict>
    </w:r>
  </w:p>
  <w:p>
    <w:pPr>
      <w:pStyle w:val="leftRight"/>
    </w:pPr>
    <w:r>
      <w:rPr>
        <w:sz w:val="18"/>
        <w:szCs w:val="18"/>
      </w:rPr>
      <w:t xml:space="preserve">©2024 Plews Shadley Racher &amp; Braun LLP. All Rights Reserved.	Page </w:t>
    </w:r>
    <w:r>
      <w:fldChar w:fldCharType="begin"/>
    </w:r>
    <w:r>
      <w:rPr>
        <w:sz w:val="18"/>
        <w:szCs w:val="18"/>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4500" w:type="dxa"/>
      <w:gridCol w:w="4500" w:type="dxa"/>
    </w:tblGrid>
    <w:tr>
      <w:trPr/>
      <w:tc>
        <w:tcPr>
          <w:tcW w:w="4500" w:type="dxa"/>
        </w:tcPr>
        <w:p>
          <w:pPr/>
          <w:r>
            <w:pict>
              <v:shape type="#_x0000_t75" stroked="f" style="width:160pt; height:59.0405904059pt; margin-left:0pt; margin-top:0pt; mso-position-horizontal:left; mso-position-vertical:top; mso-position-horizontal-relative:char; mso-position-vertical-relative:line;">
                <w10:wrap type="inline"/>
                <v:imagedata r:id="rId1" o:title=""/>
              </v:shape>
            </w:pict>
          </w:r>
        </w:p>
      </w:tc>
      <w:tc>
        <w:tcPr>
          <w:tcW w:w="4500" w:type="dxa"/>
          <w:vAlign w:val="top"/>
        </w:tcPr>
        <w:p>
          <w:pPr>
            <w:jc w:val="end"/>
            <w:spacing w:before="0" w:after="0"/>
          </w:pPr>
          <w:r>
            <w:rPr/>
            <w:t xml:space="preserve">CHRISTOPHER E. KOZAK</w:t>
          </w:r>
        </w:p>
        <w:p>
          <w:pPr>
            <w:jc w:val="end"/>
            <w:spacing w:before="0" w:after="0"/>
          </w:pPr>
          <w:hyperlink r:id="rId2" w:history="1">
            <w:r>
              <w:rPr>
                <w:color w:val="d75504"/>
              </w:rPr>
              <w:t xml:space="preserve">www.psrb.com</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nsid w:val="370C2B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ECB9F4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971B42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1">
    <w:abstractNumId w:val="11"/>
  </w:num>
  <w:num w:numId="12">
    <w:abstractNumId w:val="12"/>
  </w:num>
  <w:num w:numId="13">
    <w:abstractNumId w:val="1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160"/>
    </w:pPr>
  </w:style>
  <w:style w:type="character" w:styleId="FootnoteReference">
    <w:name w:val="Footnote Reference"/>
    <w:semiHidden/>
    <w:unhideWhenUsed/>
    <w:rPr>
      <w:vertAlign w:val="superscript"/>
    </w:rPr>
  </w:style>
  <w:style w:type="paragraph" w:customStyle="1" w:styleId="leftRight">
    <w:name w:val="leftRight"/>
    <w:basedOn w:val="Normal"/>
    <w:pPr>
      <w:tabs>
        <w:tab w:val="right" w:leader="none" w:pos="9025.511811023622"/>
      </w:tabs>
    </w:pPr>
  </w:style>
  <w:style w:type="paragraph" w:customStyle="1" w:styleId="AlignCenter">
    <w:name w:val="AlignCenter"/>
    <w:basedOn w:val="Normal"/>
    <w:pPr>
      <w:jc w:val="center"/>
    </w:pPr>
  </w:style>
  <w:style w:type="paragraph" w:customStyle="1" w:styleId="AlignCenter2">
    <w:name w:val="AlignCenter2"/>
    <w:basedOn w:val="Normal"/>
    <w:pPr>
      <w:jc w:val="center"/>
      <w:spacing w:before="0" w:after="0"/>
    </w:pPr>
  </w:style>
  <w:style w:type="paragraph" w:styleId="Heading1">
    <w:name w:val="Heading1"/>
    <w:basedOn w:val="Normal"/>
    <w:pPr>
      <w:spacing w:before="400" w:after="100"/>
    </w:pPr>
    <w:rPr>
      <w:color w:val="d75504"/>
      <w:sz w:val="28"/>
      <w:szCs w:val="28"/>
      <w:smallCaps w:val="0"/>
      <w:caps w:val="1"/>
    </w:rPr>
  </w:style>
  <w:style w:type="paragraph" w:styleId="Heading2">
    <w:name w:val="Heading2"/>
    <w:basedOn w:val="Normal"/>
    <w:pPr>
      <w:spacing w:before="300"/>
    </w:pPr>
    <w:rPr>
      <w:color w:val="287c96"/>
      <w:sz w:val="24"/>
      <w:szCs w:val="24"/>
      <w:smallCaps w:val="0"/>
      <w:caps w:val="1"/>
    </w:rPr>
  </w:style>
  <w:style w:type="paragraph" w:styleId="Heading3">
    <w:name w:val="Heading3"/>
    <w:basedOn w:val="Normal"/>
    <w:pPr>
      <w:spacing w:before="200"/>
    </w:pPr>
    <w:rPr>
      <w:b w:val="1"/>
      <w:bCs w:val="1"/>
    </w:rPr>
  </w:style>
  <w:style w:type="paragraph" w:styleId="Heading4">
    <w:name w:val="Heading4"/>
    <w:basedOn w:val="Normal"/>
    <w:pPr>
      <w:spacing w:before="200"/>
    </w:pPr>
    <w:rPr>
      <w:b w:val="1"/>
      <w:bCs w:val="1"/>
    </w:rPr>
  </w:style>
  <w:style w:type="paragraph" w:styleId="Heading5">
    <w:name w:val="Heading5"/>
    <w:basedOn w:val="Normal"/>
    <w:pPr>
      <w:spacing w:before="200"/>
    </w:pPr>
    <w:rPr>
      <w:b w:val="1"/>
      <w:bCs w:val="1"/>
    </w:rPr>
  </w:style>
  <w:style w:type="paragraph" w:styleId="Heading6">
    <w:name w:val="Heading6"/>
    <w:basedOn w:val="Normal"/>
    <w:pPr>
      <w:spacing w:before="200"/>
    </w:pPr>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srb.com/office-location/indianapolis/" TargetMode="External"/><Relationship Id="rId9" Type="http://schemas.openxmlformats.org/officeDocument/2006/relationships/hyperlink" Target="https://www.psrb.com/practice/business/" TargetMode="External"/><Relationship Id="rId10" Type="http://schemas.openxmlformats.org/officeDocument/2006/relationships/hyperlink" Target="https://www.psrb.com/practice/environmental/" TargetMode="External"/><Relationship Id="rId11" Type="http://schemas.openxmlformats.org/officeDocument/2006/relationships/hyperlink" Target="https://www.psrb.com/practice/insurance-coverage/" TargetMode="External"/><Relationship Id="rId12" Type="http://schemas.openxmlformats.org/officeDocument/2006/relationships/hyperlink" Target="https://www.psrb.com/practice/litigation/" TargetMode="External"/><Relationship Id="rId13" Type="http://schemas.openxmlformats.org/officeDocument/2006/relationships/hyperlink" Target="https://www.psrb.com/industry/energy-utilities/" TargetMode="External"/><Relationship Id="rId14" Type="http://schemas.openxmlformats.org/officeDocument/2006/relationships/hyperlink" Target="https://www.psrb.com/industry/health-care-life-sciences/" TargetMode="External"/><Relationship Id="rId15" Type="http://schemas.openxmlformats.org/officeDocument/2006/relationships/hyperlink" Target="https://www.psrb.com/industry/manufacturing/" TargetMode="External"/><Relationship Id="rId16" Type="http://schemas.openxmlformats.org/officeDocument/2006/relationships/hyperlink" Target="https://www.psrb.com/industry/municipalities-government/" TargetMode="External"/><Relationship Id="rId17" Type="http://schemas.openxmlformats.org/officeDocument/2006/relationships/hyperlink" Target="https://www.psrb.com/industry/real-estate-development-construction/" TargetMode="External"/><Relationship Id="rId18" Type="http://schemas.openxmlformats.org/officeDocument/2006/relationships/header" Target="header1.xml"/><Relationship Id="rId1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 Id="rId2" Type="http://schemas.openxmlformats.org/officeDocument/2006/relationships/hyperlink" Target="http://www.ps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2024-03-29T06:43:10+00:00</dcterms:created>
  <dcterms:modified xsi:type="dcterms:W3CDTF">2024-03-29T06:43:10+00:00</dcterms:modified>
</cp:coreProperties>
</file>

<file path=docProps/custom.xml><?xml version="1.0" encoding="utf-8"?>
<Properties xmlns="http://schemas.openxmlformats.org/officeDocument/2006/custom-properties" xmlns:vt="http://schemas.openxmlformats.org/officeDocument/2006/docPropsVTypes"/>
</file>